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6C225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i w:val="0"/>
          <w:iCs w:val="0"/>
          <w:caps w:val="0"/>
          <w:color w:val="auto"/>
          <w:spacing w:val="0"/>
          <w:sz w:val="32"/>
          <w:szCs w:val="32"/>
          <w:shd w:val="clear" w:color="auto" w:fill="auto"/>
          <w:lang w:val="en-US" w:eastAsia="zh-CN"/>
        </w:rPr>
      </w:pPr>
      <w:r>
        <w:rPr>
          <w:rFonts w:hint="eastAsia" w:ascii="黑体" w:hAnsi="黑体" w:eastAsia="黑体" w:cs="黑体"/>
          <w:b w:val="0"/>
          <w:bCs w:val="0"/>
          <w:i w:val="0"/>
          <w:iCs w:val="0"/>
          <w:caps w:val="0"/>
          <w:color w:val="auto"/>
          <w:spacing w:val="0"/>
          <w:sz w:val="32"/>
          <w:szCs w:val="32"/>
          <w:shd w:val="clear" w:color="auto" w:fill="auto"/>
          <w:lang w:val="en-US" w:eastAsia="zh-CN"/>
        </w:rPr>
        <w:t>附件1</w:t>
      </w:r>
    </w:p>
    <w:p w14:paraId="1B1C8E9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i w:val="0"/>
          <w:iCs w:val="0"/>
          <w:caps w:val="0"/>
          <w:color w:val="auto"/>
          <w:spacing w:val="0"/>
          <w:sz w:val="32"/>
          <w:szCs w:val="32"/>
          <w:shd w:val="clear" w:color="auto" w:fill="auto"/>
          <w:lang w:val="en-US" w:eastAsia="zh-CN"/>
        </w:rPr>
      </w:pPr>
    </w:p>
    <w:p w14:paraId="6116F74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auto"/>
          <w:spacing w:val="0"/>
          <w:sz w:val="36"/>
          <w:szCs w:val="36"/>
          <w:shd w:val="clear" w:color="auto" w:fill="auto"/>
        </w:rPr>
      </w:pPr>
      <w:r>
        <w:rPr>
          <w:rFonts w:hint="eastAsia" w:ascii="方正小标宋简体" w:hAnsi="方正小标宋简体" w:eastAsia="方正小标宋简体" w:cs="方正小标宋简体"/>
          <w:b w:val="0"/>
          <w:bCs w:val="0"/>
          <w:i w:val="0"/>
          <w:iCs w:val="0"/>
          <w:caps w:val="0"/>
          <w:color w:val="auto"/>
          <w:spacing w:val="0"/>
          <w:sz w:val="36"/>
          <w:szCs w:val="36"/>
          <w:shd w:val="clear" w:color="auto" w:fill="auto"/>
          <w:lang w:val="en-US" w:eastAsia="zh-CN"/>
        </w:rPr>
        <w:t>黔东南州</w:t>
      </w:r>
      <w:r>
        <w:rPr>
          <w:rFonts w:hint="eastAsia" w:ascii="方正小标宋简体" w:hAnsi="方正小标宋简体" w:eastAsia="方正小标宋简体" w:cs="方正小标宋简体"/>
          <w:b w:val="0"/>
          <w:bCs w:val="0"/>
          <w:i w:val="0"/>
          <w:iCs w:val="0"/>
          <w:caps w:val="0"/>
          <w:color w:val="auto"/>
          <w:spacing w:val="0"/>
          <w:sz w:val="36"/>
          <w:szCs w:val="36"/>
          <w:shd w:val="clear" w:color="auto" w:fill="auto"/>
        </w:rPr>
        <w:t>重点产业人才“蓄水池”2025年度</w:t>
      </w:r>
    </w:p>
    <w:p w14:paraId="021448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auto"/>
          <w:spacing w:val="0"/>
          <w:sz w:val="36"/>
          <w:szCs w:val="36"/>
          <w:shd w:val="clear" w:color="auto" w:fill="auto"/>
        </w:rPr>
      </w:pPr>
      <w:r>
        <w:rPr>
          <w:rFonts w:hint="eastAsia" w:ascii="方正小标宋简体" w:hAnsi="方正小标宋简体" w:eastAsia="方正小标宋简体" w:cs="方正小标宋简体"/>
          <w:b w:val="0"/>
          <w:bCs w:val="0"/>
          <w:i w:val="0"/>
          <w:iCs w:val="0"/>
          <w:caps w:val="0"/>
          <w:color w:val="auto"/>
          <w:spacing w:val="0"/>
          <w:sz w:val="36"/>
          <w:szCs w:val="36"/>
          <w:shd w:val="clear" w:color="auto" w:fill="auto"/>
        </w:rPr>
        <w:t>专项简化程序公开招聘企业</w:t>
      </w:r>
      <w:r>
        <w:rPr>
          <w:rFonts w:hint="eastAsia" w:ascii="方正小标宋简体" w:hAnsi="方正小标宋简体" w:eastAsia="方正小标宋简体" w:cs="方正小标宋简体"/>
          <w:b w:val="0"/>
          <w:bCs w:val="0"/>
          <w:i w:val="0"/>
          <w:iCs w:val="0"/>
          <w:caps w:val="0"/>
          <w:color w:val="auto"/>
          <w:spacing w:val="0"/>
          <w:sz w:val="36"/>
          <w:szCs w:val="36"/>
          <w:shd w:val="clear" w:color="auto" w:fill="auto"/>
          <w:lang w:eastAsia="zh-CN"/>
        </w:rPr>
        <w:t>信息简介</w:t>
      </w:r>
    </w:p>
    <w:p w14:paraId="3C8ABD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auto"/>
          <w:spacing w:val="0"/>
          <w:sz w:val="32"/>
          <w:szCs w:val="32"/>
          <w:shd w:val="clear" w:color="auto" w:fill="auto"/>
        </w:rPr>
      </w:pPr>
    </w:p>
    <w:p w14:paraId="6D838B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32"/>
          <w:szCs w:val="32"/>
          <w:shd w:val="clear" w:color="auto" w:fill="auto"/>
          <w:lang w:val="en-US" w:eastAsia="zh-CN"/>
        </w:rPr>
      </w:pPr>
      <w:r>
        <w:rPr>
          <w:rFonts w:hint="eastAsia" w:ascii="方正小标宋简体" w:hAnsi="方正小标宋简体" w:eastAsia="方正小标宋简体" w:cs="方正小标宋简体"/>
          <w:b w:val="0"/>
          <w:bCs w:val="0"/>
          <w:i w:val="0"/>
          <w:iCs w:val="0"/>
          <w:caps w:val="0"/>
          <w:color w:val="auto"/>
          <w:spacing w:val="0"/>
          <w:sz w:val="32"/>
          <w:szCs w:val="32"/>
          <w:shd w:val="clear" w:color="auto" w:fill="auto"/>
        </w:rPr>
        <w:t>贵州其亚铝业有限公司</w:t>
      </w:r>
    </w:p>
    <w:p w14:paraId="56DFED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7C547E8D">
      <w:pPr>
        <w:keepNext w:val="0"/>
        <w:keepLines w:val="0"/>
        <w:pageBreakBefore w:val="0"/>
        <w:widowControl w:val="0"/>
        <w:kinsoku/>
        <w:wordWrap/>
        <w:overflowPunct/>
        <w:topLinePunct w:val="0"/>
        <w:autoSpaceDE/>
        <w:autoSpaceDN/>
        <w:bidi w:val="0"/>
        <w:adjustRightInd/>
        <w:snapToGrid/>
        <w:spacing w:line="560" w:lineRule="exact"/>
        <w:ind w:firstLine="641"/>
        <w:jc w:val="both"/>
        <w:textAlignment w:val="auto"/>
        <w:rPr>
          <w:rFonts w:hint="default" w:ascii="仿宋_GB2312" w:hAnsi="仿宋_GB2312" w:eastAsia="仿宋_GB2312" w:cs="仿宋_GB2312"/>
          <w:sz w:val="32"/>
          <w:szCs w:val="32"/>
          <w:lang w:val="en-US" w:eastAsia="zh-CN"/>
        </w:rPr>
      </w:pPr>
      <w:bookmarkStart w:id="0" w:name="_GoBack"/>
      <w:r>
        <w:rPr>
          <w:rFonts w:hint="default" w:ascii="仿宋_GB2312" w:hAnsi="仿宋_GB2312" w:eastAsia="仿宋_GB2312" w:cs="仿宋_GB2312"/>
          <w:sz w:val="32"/>
          <w:szCs w:val="32"/>
          <w:lang w:val="en-US" w:eastAsia="zh-CN"/>
        </w:rPr>
        <w:t>其亚集团创建于1990年，是以“铝基-硅基-现代煤化工-新能源-矿业”为主产业的大型企业集团。2024年实现营收1100亿元，荣列2025年《财富》中国500强榜单第195位，较2024年上升65位。其亚贵州集团有限公司是其亚集团有限公司在凯里市投资的二级子集团，于2023年8月成立，注册资金10亿元，现有员工780人，下设5个子公司，分别是贵州其亚铝业有限公司、贵州其亚矿业有限公司、贵州圣百实业有限公司、贵州其亚新材料有限公司、贵州其亚科技有限公司。主要产品为氧化铝、镓、铝矾土。</w:t>
      </w:r>
    </w:p>
    <w:p w14:paraId="42B6E418">
      <w:pPr>
        <w:keepNext w:val="0"/>
        <w:keepLines w:val="0"/>
        <w:pageBreakBefore w:val="0"/>
        <w:widowControl w:val="0"/>
        <w:kinsoku/>
        <w:wordWrap/>
        <w:overflowPunct/>
        <w:topLinePunct w:val="0"/>
        <w:autoSpaceDE/>
        <w:autoSpaceDN/>
        <w:bidi w:val="0"/>
        <w:adjustRightInd/>
        <w:snapToGrid/>
        <w:spacing w:line="560" w:lineRule="exact"/>
        <w:ind w:firstLine="641"/>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贵州其亚铝业有限公司于2009年成立，占地面积1200余亩，总投资36亿元，设计规模为年产氧化铝130万吨。2024年完成产值48.5亿元，2025年</w:t>
      </w:r>
      <w:r>
        <w:rPr>
          <w:rFonts w:hint="eastAsia" w:ascii="仿宋_GB2312" w:hAnsi="仿宋_GB2312" w:eastAsia="仿宋_GB2312" w:cs="仿宋_GB2312"/>
          <w:sz w:val="32"/>
          <w:szCs w:val="32"/>
          <w:lang w:val="en-US" w:eastAsia="zh-CN"/>
        </w:rPr>
        <w:t>预计</w:t>
      </w:r>
      <w:r>
        <w:rPr>
          <w:rFonts w:hint="default" w:ascii="仿宋_GB2312" w:hAnsi="仿宋_GB2312" w:eastAsia="仿宋_GB2312" w:cs="仿宋_GB2312"/>
          <w:sz w:val="32"/>
          <w:szCs w:val="32"/>
          <w:lang w:val="en-US" w:eastAsia="zh-CN"/>
        </w:rPr>
        <w:t>完成产值</w:t>
      </w:r>
      <w:r>
        <w:rPr>
          <w:rFonts w:hint="eastAsia" w:ascii="仿宋_GB2312" w:hAnsi="仿宋_GB2312" w:eastAsia="仿宋_GB2312" w:cs="仿宋_GB2312"/>
          <w:sz w:val="32"/>
          <w:szCs w:val="32"/>
          <w:lang w:val="en-US" w:eastAsia="zh-CN"/>
        </w:rPr>
        <w:t>55</w:t>
      </w:r>
      <w:r>
        <w:rPr>
          <w:rFonts w:hint="default" w:ascii="仿宋_GB2312" w:hAnsi="仿宋_GB2312" w:eastAsia="仿宋_GB2312" w:cs="仿宋_GB2312"/>
          <w:sz w:val="32"/>
          <w:szCs w:val="32"/>
          <w:lang w:val="en-US" w:eastAsia="zh-CN"/>
        </w:rPr>
        <w:t>亿元。其亚贵州集团2024年实现营收120亿元，2025年计划完成销售收入200亿元，2030年计划完成销售收入500亿元。</w:t>
      </w:r>
    </w:p>
    <w:p w14:paraId="752FD1AC">
      <w:pPr>
        <w:keepNext w:val="0"/>
        <w:keepLines w:val="0"/>
        <w:pageBreakBefore w:val="0"/>
        <w:widowControl w:val="0"/>
        <w:kinsoku/>
        <w:wordWrap/>
        <w:overflowPunct/>
        <w:topLinePunct w:val="0"/>
        <w:autoSpaceDE/>
        <w:autoSpaceDN/>
        <w:bidi w:val="0"/>
        <w:adjustRightInd/>
        <w:snapToGrid/>
        <w:spacing w:line="560" w:lineRule="exact"/>
        <w:ind w:firstLine="641"/>
        <w:jc w:val="both"/>
        <w:textAlignment w:val="auto"/>
        <w:rPr>
          <w:rFonts w:hint="eastAsia" w:eastAsiaTheme="minorEastAsia"/>
          <w:color w:val="auto"/>
          <w:sz w:val="32"/>
          <w:szCs w:val="32"/>
          <w:lang w:val="en-US" w:eastAsia="zh-CN"/>
        </w:rPr>
      </w:pPr>
      <w:r>
        <w:rPr>
          <w:rFonts w:hint="default" w:ascii="仿宋_GB2312" w:hAnsi="仿宋_GB2312" w:eastAsia="仿宋_GB2312" w:cs="仿宋_GB2312"/>
          <w:sz w:val="32"/>
          <w:szCs w:val="32"/>
          <w:lang w:val="en-US" w:eastAsia="zh-CN"/>
        </w:rPr>
        <w:t>2021年新增投资6亿元建设母液净化及赤泥资源化综合利用项目，2023年1月项目建成投产。2024年新增投资3亿元建设年产120万吨低品位铝土矿选矿综合利用项目，一期项目于2024年8月建成投产。202</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年拟新增投资36亿元建设年产80万吨精细氧化铝项目，新增投资15亿元建设赤泥综合利用二、三期。预计项目在建成达产后，精细氧化铝年均销售收入达到30.27亿元</w:t>
      </w:r>
      <w:r>
        <w:rPr>
          <w:rFonts w:hint="eastAsia" w:ascii="仿宋_GB2312" w:hAnsi="仿宋_GB2312" w:eastAsia="仿宋_GB2312" w:cs="仿宋_GB2312"/>
          <w:sz w:val="32"/>
          <w:szCs w:val="32"/>
          <w:lang w:val="en-US" w:eastAsia="zh-CN"/>
        </w:rPr>
        <w:t>。</w:t>
      </w:r>
    </w:p>
    <w:bookmarkEnd w:id="0"/>
    <w:sectPr>
      <w:footerReference r:id="rId3"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9F19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52BFC3">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52BFC3">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wNTNlZWRlYWE0OTNiODc5OGQzZDYwZjdhZTFjMmYifQ=="/>
  </w:docVars>
  <w:rsids>
    <w:rsidRoot w:val="00000000"/>
    <w:rsid w:val="0EFA47D4"/>
    <w:rsid w:val="11BE712D"/>
    <w:rsid w:val="14CD51CA"/>
    <w:rsid w:val="27101439"/>
    <w:rsid w:val="35E11D8D"/>
    <w:rsid w:val="3C7A5F56"/>
    <w:rsid w:val="3D8C4410"/>
    <w:rsid w:val="433E38FA"/>
    <w:rsid w:val="472C08E7"/>
    <w:rsid w:val="48493471"/>
    <w:rsid w:val="561F5CBB"/>
    <w:rsid w:val="5EFA7CCD"/>
    <w:rsid w:val="6BCFC8FB"/>
    <w:rsid w:val="7BA9BF70"/>
    <w:rsid w:val="7EBD914A"/>
    <w:rsid w:val="7F7D58EC"/>
    <w:rsid w:val="9D4B5CFF"/>
    <w:rsid w:val="BA7B23C6"/>
    <w:rsid w:val="DFB7C3F4"/>
    <w:rsid w:val="FB5DDA4A"/>
    <w:rsid w:val="FE734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1086</Words>
  <Characters>1243</Characters>
  <Lines>0</Lines>
  <Paragraphs>0</Paragraphs>
  <TotalTime>3</TotalTime>
  <ScaleCrop>false</ScaleCrop>
  <LinksUpToDate>false</LinksUpToDate>
  <CharactersWithSpaces>1243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2023-01-29T14:02:00Z</dcterms:created>
  <dc:creator>509</dc:creator>
  <cp:lastModifiedBy>莫安武</cp:lastModifiedBy>
  <cp:lastPrinted>2025-11-07T12:18:00Z</cp:lastPrinted>
  <dcterms:modified xsi:type="dcterms:W3CDTF">2025-12-01T06:21:46Z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C4AFFCFCABF44F47A93DE49CCC71C03A</vt:lpwstr>
  </property>
  <property fmtid="{D5CDD505-2E9C-101B-9397-08002B2CF9AE}" pid="4" name="KSOTemplateDocerSaveRecord">
    <vt:lpwstr>eyJoZGlkIjoiZDZlYzdmZWIyNmE4ODYyYjM4NWExMmM3ZmY0NzA2NTIiLCJ1c2VySWQiOiI0MjAxMDYwODQifQ==</vt:lpwstr>
  </property>
</Properties>
</file>