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251"/>
        </w:tabs>
        <w:kinsoku/>
        <w:wordWrap/>
        <w:overflowPunct/>
        <w:topLinePunct w:val="0"/>
        <w:autoSpaceDE/>
        <w:autoSpaceDN/>
        <w:bidi w:val="0"/>
        <w:adjustRightInd/>
        <w:spacing w:line="560" w:lineRule="exact"/>
        <w:jc w:val="left"/>
        <w:rPr>
          <w:rFonts w:hint="eastAsia" w:ascii="黑体" w:hAnsi="黑体" w:eastAsia="黑体" w:cs="方正小标宋简体"/>
          <w:bCs/>
          <w:sz w:val="32"/>
          <w:szCs w:val="32"/>
          <w:lang w:val="en-US" w:eastAsia="zh-CN"/>
        </w:rPr>
      </w:pPr>
      <w:r>
        <w:rPr>
          <w:rFonts w:hint="eastAsia" w:ascii="黑体" w:hAnsi="黑体" w:eastAsia="黑体" w:cs="方正小标宋简体"/>
          <w:bCs/>
          <w:sz w:val="32"/>
          <w:szCs w:val="32"/>
        </w:rPr>
        <w:t>附件</w:t>
      </w:r>
      <w:r>
        <w:rPr>
          <w:rFonts w:hint="eastAsia" w:ascii="黑体" w:hAnsi="黑体" w:eastAsia="黑体" w:cs="方正小标宋简体"/>
          <w:bCs/>
          <w:sz w:val="32"/>
          <w:szCs w:val="32"/>
          <w:lang w:val="en-US" w:eastAsia="zh-CN"/>
        </w:rPr>
        <w:t>3</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rPr>
          <w:rFonts w:hint="eastAsia" w:ascii="黑体" w:hAnsi="黑体" w:eastAsia="黑体" w:cs="方正小标宋简体"/>
          <w:bCs/>
          <w:sz w:val="32"/>
          <w:szCs w:val="32"/>
        </w:rPr>
      </w:pP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应届高校毕业生（含择业期内未落实工作单位的高校毕业生）范围说明</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jc w:val="both"/>
        <w:rPr>
          <w:rFonts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按照贵州省人力资源和社会保障厅相关口径，对应届高校毕业生（含择业期内未落实工作单位的高校毕业生）范围如下：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Times New Roman" w:eastAsia="仿宋_GB2312"/>
          <w:sz w:val="32"/>
          <w:szCs w:val="32"/>
        </w:rPr>
      </w:pPr>
      <w:r>
        <w:rPr>
          <w:rFonts w:hint="eastAsia" w:ascii="仿宋_GB2312" w:hAnsi="仿宋" w:eastAsia="仿宋_GB2312"/>
          <w:sz w:val="32"/>
          <w:szCs w:val="32"/>
        </w:rPr>
        <w:t>一、2021年应届高校毕</w:t>
      </w:r>
      <w:r>
        <w:rPr>
          <w:rFonts w:hint="eastAsia" w:ascii="仿宋_GB2312" w:hAnsi="Times New Roman" w:eastAsia="仿宋_GB2312"/>
          <w:sz w:val="32"/>
          <w:szCs w:val="32"/>
        </w:rPr>
        <w:t>业生。其中，2021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二、2019年和2020年全日制普通高校毕业生，以及符合上述条件的非全日制研究生，若仍未落实</w:t>
      </w:r>
      <w:r>
        <w:rPr>
          <w:rFonts w:hint="eastAsia" w:ascii="仿宋_GB2312" w:hAnsi="黑体" w:eastAsia="仿宋_GB2312" w:cs="黑体"/>
          <w:bCs/>
          <w:sz w:val="32"/>
          <w:szCs w:val="32"/>
        </w:rPr>
        <w:t>过</w:t>
      </w:r>
      <w:r>
        <w:rPr>
          <w:rFonts w:hint="eastAsia" w:ascii="仿宋_GB2312" w:hAnsi="Times New Roman" w:eastAsia="仿宋_GB2312"/>
          <w:sz w:val="32"/>
          <w:szCs w:val="32"/>
        </w:rPr>
        <w:t>工作或学习单位，其档案关系仍保留在原毕业学校，或保留在各级毕业生就业主管部门（毕业生就业指导服务中心）、人才交流服务机构和公共就业服务机构的，可按应届高校毕业生或社会人员报名。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国（境）外同期毕业人员（含择业期内未落实工作单位的），可按应届毕业生报名。国（境）外同期毕业人员，是指在国（境）外教学科研机构学习，与国（境）内应届毕业生同期毕业，并在2021年12月31日前完成教育部留学服务中心学历认证的留学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pPr>
      <w:r>
        <w:rPr>
          <w:rFonts w:hint="eastAsia" w:ascii="仿宋_GB2312" w:hAnsi="Times New Roman" w:eastAsia="仿宋_GB2312"/>
          <w:sz w:val="32"/>
          <w:szCs w:val="32"/>
        </w:rPr>
        <w:t>四、基层服务项目人员等其他符合可视为应届毕业生的，按相关规定执行。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650AF"/>
    <w:rsid w:val="3706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index 9"/>
    <w:basedOn w:val="1"/>
    <w:next w:val="1"/>
    <w:qFormat/>
    <w:uiPriority w:val="0"/>
    <w:pPr>
      <w:ind w:left="1600" w:leftChars="1600"/>
    </w:pPr>
    <w:rPr>
      <w:rFonts w:ascii="Calibri" w:hAnsi="Calibri" w:eastAsia="宋体" w:cs="Times New Roman"/>
    </w:rPr>
  </w:style>
  <w:style w:type="paragraph" w:styleId="4">
    <w:name w:val="Normal (Web)"/>
    <w:basedOn w:val="1"/>
    <w:next w:val="3"/>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2021-12-01T08:32:00Z</dcterms:created>
  <dc:creator>Lenovo</dc:creator>
  <cp:lastModifiedBy>Lenovo</cp:lastModifiedBy>
  <dcterms:modified xsi:type="dcterms:W3CDTF">2021-12-01T08:34:56Z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